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843"/>
        <w:gridCol w:w="567"/>
        <w:gridCol w:w="2558"/>
        <w:gridCol w:w="4375"/>
        <w:gridCol w:w="1537"/>
      </w:tblGrid>
      <w:tr w:rsidR="007D4A8C" w:rsidRPr="007D4A8C" w:rsidTr="007D4A8C">
        <w:trPr>
          <w:trHeight w:val="255"/>
        </w:trPr>
        <w:tc>
          <w:tcPr>
            <w:tcW w:w="1843" w:type="dxa"/>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Level</w:t>
            </w:r>
          </w:p>
        </w:tc>
        <w:tc>
          <w:tcPr>
            <w:tcW w:w="567" w:type="dxa"/>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p>
        </w:tc>
        <w:tc>
          <w:tcPr>
            <w:tcW w:w="6933" w:type="dxa"/>
            <w:gridSpan w:val="2"/>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Provinsi Kalimantan Timur</w:t>
            </w:r>
          </w:p>
        </w:tc>
        <w:tc>
          <w:tcPr>
            <w:tcW w:w="1537" w:type="dxa"/>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255"/>
        </w:trPr>
        <w:tc>
          <w:tcPr>
            <w:tcW w:w="1843" w:type="dxa"/>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Komponen</w:t>
            </w:r>
          </w:p>
        </w:tc>
        <w:tc>
          <w:tcPr>
            <w:tcW w:w="567" w:type="dxa"/>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p>
        </w:tc>
        <w:tc>
          <w:tcPr>
            <w:tcW w:w="6933" w:type="dxa"/>
            <w:gridSpan w:val="2"/>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A. Hukum dan Kebijakan</w:t>
            </w:r>
          </w:p>
        </w:tc>
        <w:tc>
          <w:tcPr>
            <w:tcW w:w="1537" w:type="dxa"/>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255"/>
        </w:trPr>
        <w:tc>
          <w:tcPr>
            <w:tcW w:w="1843" w:type="dxa"/>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567" w:type="dxa"/>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558" w:type="dxa"/>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375" w:type="dxa"/>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37" w:type="dxa"/>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255"/>
        </w:trPr>
        <w:tc>
          <w:tcPr>
            <w:tcW w:w="2410" w:type="dxa"/>
            <w:gridSpan w:val="2"/>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Isu dalam PGA REDD+</w:t>
            </w:r>
          </w:p>
        </w:tc>
        <w:tc>
          <w:tcPr>
            <w:tcW w:w="6933" w:type="dxa"/>
            <w:gridSpan w:val="2"/>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xml:space="preserve">:  I. Perencanaan Kehutanan dan Tata Ruang </w:t>
            </w:r>
          </w:p>
        </w:tc>
        <w:tc>
          <w:tcPr>
            <w:tcW w:w="1537" w:type="dxa"/>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960"/>
        </w:trPr>
        <w:tc>
          <w:tcPr>
            <w:tcW w:w="1843" w:type="dxa"/>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567" w:type="dxa"/>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8470" w:type="dxa"/>
            <w:gridSpan w:val="3"/>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xml:space="preserve">: a. Keberadaan dan komprehensiveness aturan yang mengatur transparansi penyusunan perencanaan kehutanan dan Rencana Tata Ruang dan Rencana Wilayah (RTRW) </w:t>
            </w:r>
          </w:p>
        </w:tc>
      </w:tr>
      <w:tr w:rsidR="007D4A8C" w:rsidRPr="007D4A8C" w:rsidTr="007D4A8C">
        <w:trPr>
          <w:trHeight w:val="1185"/>
        </w:trPr>
        <w:tc>
          <w:tcPr>
            <w:tcW w:w="2410" w:type="dxa"/>
            <w:gridSpan w:val="2"/>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Objek Analisis</w:t>
            </w:r>
          </w:p>
        </w:tc>
        <w:tc>
          <w:tcPr>
            <w:tcW w:w="8470" w:type="dxa"/>
            <w:gridSpan w:val="3"/>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bl>
    <w:p w:rsidR="00D74DB4" w:rsidRDefault="00D74DB4"/>
    <w:tbl>
      <w:tblPr>
        <w:tblW w:w="4953" w:type="pct"/>
        <w:tblInd w:w="103" w:type="dxa"/>
        <w:tblLook w:val="04A0"/>
      </w:tblPr>
      <w:tblGrid>
        <w:gridCol w:w="1139"/>
        <w:gridCol w:w="2470"/>
        <w:gridCol w:w="1282"/>
        <w:gridCol w:w="4406"/>
        <w:gridCol w:w="1588"/>
      </w:tblGrid>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single" w:sz="4" w:space="0" w:color="auto"/>
              <w:left w:val="nil"/>
              <w:bottom w:val="nil"/>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360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AIa1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Data/informasi pembuatan RTRW</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u w:val="single"/>
                <w:lang w:eastAsia="id-ID"/>
              </w:rPr>
            </w:pPr>
            <w:r w:rsidRPr="007D4A8C">
              <w:rPr>
                <w:rFonts w:ascii="Times New Roman" w:eastAsia="Times New Roman" w:hAnsi="Times New Roman" w:cs="Times New Roman"/>
                <w:u w:val="single"/>
                <w:lang w:eastAsia="id-ID"/>
              </w:rPr>
              <w:t> </w:t>
            </w:r>
          </w:p>
        </w:tc>
        <w:tc>
          <w:tcPr>
            <w:tcW w:w="4406"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Peraturan Presiden RI No.3/2012 tentang Rencana Tata Ruang Pulau Kalimantan; UU No.26/2007 tentang Penataan Ruang(Lembaran Negara RI Thn.2007 No.68, tambahan Lembaran Negara RI No.4725); PP No.15/PRT/M/2009 tentang Pedoman Penyusunan Tata Ruang Wilayah Provinsi; PP No.15/2010 tentang Penyelenggaraan Penataan Ruang(Lembaran negara RI Thn. 2010 No.21, tambahan Lembaran Negara RI No. 5103; PP No.68/2010 tentang Bentuk dan Tata Cara Peran Masyarakat dalam Penataan Ruang(Lembaran Negara RI Thn. 2010 No.118, tambahan Lembaran Negara RI No.5160); UU No.22/1999 Tentang Pemerintahan Daerah menyatakan bahwa Kabupaten/Kota berhak menyusun dan menetapkan Perda RTRW tanpa ada proses konsultasi dengan Provinsi</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3</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AIa2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Informasi rencana pembentukan RTRW(P)</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FF"/>
                <w:u w:val="single"/>
                <w:lang w:eastAsia="id-ID"/>
              </w:rPr>
            </w:pPr>
            <w:r w:rsidRPr="007D4A8C">
              <w:rPr>
                <w:rFonts w:ascii="Times New Roman" w:eastAsia="Times New Roman" w:hAnsi="Times New Roman" w:cs="Times New Roman"/>
                <w:color w:val="0000FF"/>
                <w:u w:val="single"/>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Persetujuan substansi dari Menteri Pekerjaan Umum No.HK.01.03-Mn/493 Tgl.26 Agustus 2011</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3</w:t>
            </w:r>
          </w:p>
        </w:tc>
      </w:tr>
      <w:tr w:rsidR="007D4A8C" w:rsidRPr="007D4A8C" w:rsidTr="007D4A8C">
        <w:trPr>
          <w:trHeight w:val="168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AIa3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Pengumuman usulan perubahan peruntukan</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FF"/>
                <w:u w:val="single"/>
                <w:lang w:eastAsia="id-ID"/>
              </w:rPr>
            </w:pPr>
            <w:r w:rsidRPr="007D4A8C">
              <w:rPr>
                <w:rFonts w:ascii="Times New Roman" w:eastAsia="Times New Roman" w:hAnsi="Times New Roman" w:cs="Times New Roman"/>
                <w:color w:val="0000FF"/>
                <w:u w:val="single"/>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Setelah melakukan proses kelengkapan data dan Dokumen di BKPRN melalui Direktorat Jenderal Penataan Ruang, Dep.PU, dilakukan pengkajian Perubahan Kawasan Hutan Dalam Usulan Revisi RTRWP Prov.Kaltim dengan dibentuknya Tim Terpadu (SK Menteri Kehutanan Nomor : SK 274/ MENHUT-VII/2009 tgl. 12 Mei 2009)</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3</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AIa4</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Kejelasan informasi  yang dapat diakses berdasarkan uji konsekuensi</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FF"/>
                <w:u w:val="single"/>
                <w:lang w:eastAsia="id-ID"/>
              </w:rPr>
            </w:pPr>
            <w:r w:rsidRPr="007D4A8C">
              <w:rPr>
                <w:rFonts w:ascii="Times New Roman" w:eastAsia="Times New Roman" w:hAnsi="Times New Roman" w:cs="Times New Roman"/>
                <w:color w:val="0000FF"/>
                <w:u w:val="single"/>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RTRWProv.Kaltim Tahun 2011 - 2031  dalam tahap revisi</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2</w:t>
            </w:r>
          </w:p>
        </w:tc>
      </w:tr>
      <w:tr w:rsidR="007D4A8C" w:rsidRPr="007D4A8C" w:rsidTr="007D4A8C">
        <w:trPr>
          <w:trHeight w:val="255"/>
        </w:trPr>
        <w:tc>
          <w:tcPr>
            <w:tcW w:w="1139" w:type="dxa"/>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102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b. Keberadaan dan komprehensiveness aturan yang mengatur penyusunan perencanaan kehutanan dan Rencana Tata Ruang dan Rencana Wilayah (RTRW) yang partisipatif</w:t>
            </w:r>
          </w:p>
        </w:tc>
      </w:tr>
      <w:tr w:rsidR="007D4A8C" w:rsidRPr="007D4A8C" w:rsidTr="007D4A8C">
        <w:trPr>
          <w:trHeight w:val="1305"/>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Objek Analisis</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nil"/>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lastRenderedPageBreak/>
              <w:t>AIb1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pengambilan keputusan yang memudahkan keterlibatan pihak yang berkepentingan</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FF"/>
                <w:u w:val="single"/>
                <w:lang w:eastAsia="id-ID"/>
              </w:rPr>
            </w:pPr>
            <w:r w:rsidRPr="007D4A8C">
              <w:rPr>
                <w:rFonts w:ascii="Times New Roman" w:eastAsia="Times New Roman" w:hAnsi="Times New Roman" w:cs="Times New Roman"/>
                <w:color w:val="0000FF"/>
                <w:u w:val="single"/>
                <w:lang w:eastAsia="id-ID"/>
              </w:rPr>
              <w:t> </w:t>
            </w:r>
          </w:p>
        </w:tc>
        <w:tc>
          <w:tcPr>
            <w:tcW w:w="4406" w:type="dxa"/>
            <w:tcBorders>
              <w:top w:val="single" w:sz="4" w:space="0" w:color="auto"/>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mekanisme pengambilan keputusan yang memudahkan keterlibatan pihak yang berkepentingan.</w:t>
            </w:r>
          </w:p>
        </w:tc>
        <w:tc>
          <w:tcPr>
            <w:tcW w:w="1588"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jc w:val="center"/>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AIb2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Petugas khusus yang bertanggung jawab mengelola masukan publik</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FF"/>
                <w:u w:val="single"/>
                <w:lang w:eastAsia="id-ID"/>
              </w:rPr>
            </w:pPr>
            <w:r w:rsidRPr="007D4A8C">
              <w:rPr>
                <w:rFonts w:ascii="Times New Roman" w:eastAsia="Times New Roman" w:hAnsi="Times New Roman" w:cs="Times New Roman"/>
                <w:color w:val="0000FF"/>
                <w:u w:val="single"/>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petugas khusus yang bertanggung jawab mengelola masukan publik</w:t>
            </w:r>
          </w:p>
        </w:tc>
        <w:tc>
          <w:tcPr>
            <w:tcW w:w="1588"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jc w:val="center"/>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AIb3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Dokumentasi setiap masukan (tertulis/tidak tertulis)</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FF"/>
                <w:u w:val="single"/>
                <w:lang w:eastAsia="id-ID"/>
              </w:rPr>
            </w:pPr>
            <w:r w:rsidRPr="007D4A8C">
              <w:rPr>
                <w:rFonts w:ascii="Times New Roman" w:eastAsia="Times New Roman" w:hAnsi="Times New Roman" w:cs="Times New Roman"/>
                <w:color w:val="0000FF"/>
                <w:u w:val="single"/>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erkait dengan dokumentasi setiap masukan</w:t>
            </w:r>
          </w:p>
        </w:tc>
        <w:tc>
          <w:tcPr>
            <w:tcW w:w="1588"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jc w:val="center"/>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AIb4</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respon terhadap masukan yang ada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FF"/>
                <w:u w:val="single"/>
                <w:lang w:eastAsia="id-ID"/>
              </w:rPr>
            </w:pPr>
            <w:r w:rsidRPr="007D4A8C">
              <w:rPr>
                <w:rFonts w:ascii="Times New Roman" w:eastAsia="Times New Roman" w:hAnsi="Times New Roman" w:cs="Times New Roman"/>
                <w:color w:val="0000FF"/>
                <w:u w:val="single"/>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mekanisme respon terhadap masukan yang ada</w:t>
            </w:r>
          </w:p>
        </w:tc>
        <w:tc>
          <w:tcPr>
            <w:tcW w:w="1588"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jc w:val="center"/>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AIb5</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Penjelasan atas keputusan akhir yang diambil</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FF"/>
                <w:u w:val="single"/>
                <w:lang w:eastAsia="id-ID"/>
              </w:rPr>
            </w:pPr>
            <w:r w:rsidRPr="007D4A8C">
              <w:rPr>
                <w:rFonts w:ascii="Times New Roman" w:eastAsia="Times New Roman" w:hAnsi="Times New Roman" w:cs="Times New Roman"/>
                <w:color w:val="0000FF"/>
                <w:u w:val="single"/>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penjelasan atas keputusan akhir yang diambil</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1</w:t>
            </w:r>
          </w:p>
        </w:tc>
      </w:tr>
      <w:tr w:rsidR="007D4A8C" w:rsidRPr="007D4A8C" w:rsidTr="007D4A8C">
        <w:trPr>
          <w:trHeight w:val="30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AIb6</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Pelaksanaan proses partisipasi</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FF"/>
                <w:u w:val="single"/>
                <w:lang w:eastAsia="id-ID"/>
              </w:rPr>
            </w:pPr>
            <w:r w:rsidRPr="007D4A8C">
              <w:rPr>
                <w:rFonts w:ascii="Times New Roman" w:eastAsia="Times New Roman" w:hAnsi="Times New Roman" w:cs="Times New Roman"/>
                <w:color w:val="0000FF"/>
                <w:u w:val="single"/>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pelaksanaan proses partisipasi</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108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c. Keberadaan dan komprehensiveness aturan yang mengatur program peningkatan kapasitas masyarakat dalam proses perencanaan kehutanan dan Rencana Tata Ruang dan Rencana Wilayah (RTRW)</w:t>
            </w:r>
          </w:p>
        </w:tc>
      </w:tr>
      <w:tr w:rsidR="007D4A8C" w:rsidRPr="007D4A8C" w:rsidTr="007D4A8C">
        <w:trPr>
          <w:trHeight w:val="123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Objek Analisis</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 RPJMN/D, Renstranas/da</w:t>
            </w:r>
          </w:p>
        </w:tc>
      </w:tr>
      <w:tr w:rsidR="007D4A8C" w:rsidRPr="007D4A8C" w:rsidTr="007D4A8C">
        <w:trPr>
          <w:trHeight w:val="255"/>
        </w:trPr>
        <w:tc>
          <w:tcPr>
            <w:tcW w:w="1139" w:type="dxa"/>
            <w:tcBorders>
              <w:top w:val="single" w:sz="4" w:space="0" w:color="auto"/>
              <w:left w:val="single" w:sz="4" w:space="0" w:color="auto"/>
              <w:bottom w:val="nil"/>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nil"/>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nil"/>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nil"/>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nil"/>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76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AIc1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Program peningkatan kapasitas masyarakat Adat/ Lokal dalam perencanaan kehutanan dan wilayah</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Undang-Undang Republik Indonesia Nomor 41 Tahun 1999 tentang Kehutanan; PP RI No. 68 Tahun 2010 tentang Bentuk dan Tata Cara Peran Masyarakat dalam Penataan Ruang</w:t>
            </w:r>
          </w:p>
        </w:tc>
        <w:tc>
          <w:tcPr>
            <w:tcW w:w="1588" w:type="dxa"/>
            <w:tcBorders>
              <w:top w:val="single" w:sz="4" w:space="0" w:color="auto"/>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2</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AIc2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Program peningkatan kapasitas pemerintah dalam perencanaan kehutanan dan wilayah</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Peraturan Menteri Kehutanan RI No.: P.24/Menhut-II/2012 /M enhut-II/2009 tentang Petunjuk Teknis Pelaksanaan Urusan Pemerintahan(Dekosentrasi) Bid.Kehutanan Thn 2012 yang Dilimpahkan Kepada Gubernur Selaku Wakil Pemerintah</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2</w:t>
            </w:r>
          </w:p>
        </w:tc>
      </w:tr>
      <w:tr w:rsidR="007D4A8C" w:rsidRPr="007D4A8C" w:rsidTr="007D4A8C">
        <w:trPr>
          <w:trHeight w:val="255"/>
        </w:trPr>
        <w:tc>
          <w:tcPr>
            <w:tcW w:w="1139" w:type="dxa"/>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94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d. Keberadaan dan komprehensiveness aturan yang mengatur Mekanisme penanganan pengaduan dalam proses perencanaan kehutanan dan Rencana Tata Ruang dan Rencana Wilayah (RTRW)</w:t>
            </w:r>
          </w:p>
        </w:tc>
      </w:tr>
      <w:tr w:rsidR="007D4A8C" w:rsidRPr="007D4A8C" w:rsidTr="007D4A8C">
        <w:trPr>
          <w:trHeight w:val="1185"/>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7D4A8C" w:rsidRPr="007D4A8C" w:rsidTr="007D4A8C">
        <w:trPr>
          <w:trHeight w:val="255"/>
        </w:trPr>
        <w:tc>
          <w:tcPr>
            <w:tcW w:w="1139" w:type="dxa"/>
            <w:tcBorders>
              <w:top w:val="single" w:sz="4" w:space="0" w:color="auto"/>
              <w:left w:val="single" w:sz="4" w:space="0" w:color="auto"/>
              <w:bottom w:val="nil"/>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nil"/>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nil"/>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nil"/>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nil"/>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76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AId1</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pengaduan (termasuk ketentuan tenggat waktu &amp; tindakan yang diambil)</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FF"/>
                <w:u w:val="single"/>
                <w:lang w:eastAsia="id-ID"/>
              </w:rPr>
            </w:pPr>
            <w:r w:rsidRPr="007D4A8C">
              <w:rPr>
                <w:rFonts w:ascii="Times New Roman" w:eastAsia="Times New Roman" w:hAnsi="Times New Roman" w:cs="Times New Roman"/>
                <w:color w:val="0000FF"/>
                <w:u w:val="single"/>
                <w:lang w:eastAsia="id-ID"/>
              </w:rPr>
              <w:t> </w:t>
            </w:r>
          </w:p>
        </w:tc>
        <w:tc>
          <w:tcPr>
            <w:tcW w:w="4406"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PP RI No. 68 Tahun 2010 tentang Bentuk dan Tata Cara Peran Masyarakat dalam Penataan Ruang</w:t>
            </w:r>
          </w:p>
        </w:tc>
        <w:tc>
          <w:tcPr>
            <w:tcW w:w="1588" w:type="dxa"/>
            <w:tcBorders>
              <w:top w:val="single" w:sz="4" w:space="0" w:color="auto"/>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2</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AId2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resolusi konflik</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FF"/>
                <w:u w:val="single"/>
                <w:lang w:eastAsia="id-ID"/>
              </w:rPr>
            </w:pPr>
            <w:r w:rsidRPr="007D4A8C">
              <w:rPr>
                <w:rFonts w:ascii="Times New Roman" w:eastAsia="Times New Roman" w:hAnsi="Times New Roman" w:cs="Times New Roman"/>
                <w:color w:val="0000FF"/>
                <w:u w:val="single"/>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PP RI No. 68 Tahun 2010 tentang Bentuk dan Tata Cara Peran Masyarakat dalam Penataan Ruang</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2</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AId3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Keahlian &amp; pemahaman mediator tentang isu-isu masyarakat adat/lokal</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Tidak ada aturan yang terkait dengan keahlian dan pemahaman mediator tentang isu-isu masyarakatadat/lokal dalam peraturan daerah yang bersifat teknis</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33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lastRenderedPageBreak/>
              <w:t>Isu dalam PGA REDD+</w:t>
            </w:r>
          </w:p>
        </w:tc>
        <w:tc>
          <w:tcPr>
            <w:tcW w:w="5688"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II.Pengaturan Hak</w:t>
            </w: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8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a. Keberadaan dan komprehensiveness aturan yang mengatur transparansi penetapan hak kelola hutan bagi masyarakat adat/lokal dan bisnis</w:t>
            </w:r>
          </w:p>
        </w:tc>
      </w:tr>
      <w:tr w:rsidR="007D4A8C" w:rsidRPr="007D4A8C" w:rsidTr="007D4A8C">
        <w:trPr>
          <w:trHeight w:val="81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Sumber (Undang2 keterbukaan informasi publik, PP, permenhut ttg pemberian ijin, pergub/bup (terkait kehutanan), Permenhut 7/2011</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16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AIIa1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Ketersediaan seluruh informasi secara sistematis sehingga mudah diakses</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Permenhut No.P.02/Menhut II/2010 tentang Sistem Informasi Kehutanan; Permenhut No.P.7/Menhut-II/2011 tentang Pelayanan Informasi Publik di Bidang Kehutanan; Permenhut No.P.5/Menhut-II/2012 tentang Pedoman Pelaksanaan Tugas Kehumasan di Lingkungan Kementerian Kehutanan. Tidak ada Pergub terkait pelayanan informasi kehutanan</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2</w:t>
            </w:r>
          </w:p>
        </w:tc>
      </w:tr>
      <w:tr w:rsidR="007D4A8C" w:rsidRPr="007D4A8C" w:rsidTr="007D4A8C">
        <w:trPr>
          <w:trHeight w:val="174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AIIa2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Kewajiban memiliki petugas khusus yang menangani permintaan informasi</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Permenhut No.P.02/Menhut II/2010 tentang Sistem Informasi Kehutanan; Permenhut No.P.7/Menhut-II/2011 tentang Pelayanan Informasi Publik di Bidang Kehutanan; Permenhut No.P.5/Menhut-II/2012 tentang Pedoman Pelaksanaan Tugas Kehumasan di Lingkungan Kementerian Kehutanan. Tidak ada Pergub terkait pelayanan informasi kehutanan</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2</w:t>
            </w:r>
          </w:p>
        </w:tc>
      </w:tr>
      <w:tr w:rsidR="007D4A8C" w:rsidRPr="007D4A8C" w:rsidTr="007D4A8C">
        <w:trPr>
          <w:trHeight w:val="16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AIIa3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Permenhut No.P.02/Menhut II/2010 tentang Sistem Informasi Kehutanan; Permenhut No.P.7/Menhut-II/2011 tentang Pelayanan Informasi Publik di Bidang Kehutanan; Permenhut No.P.5/Menhut-II/2012 tentang Pedoman Pelaksanaan Tugas Kehumasan di Lingkungan Kementerian Kehutanan. Tidak ada Pergub terkait pelayanan informasi kehutanan</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2</w:t>
            </w:r>
          </w:p>
        </w:tc>
      </w:tr>
      <w:tr w:rsidR="007D4A8C" w:rsidRPr="007D4A8C" w:rsidTr="007D4A8C">
        <w:trPr>
          <w:trHeight w:val="16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AIIa4</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Informasi yang diumumkan tentang rencana kegiatan/proyek yang disertai dengan dokumen pendukungnya</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Permenhut No.P.02/Menhut II/2010 tentang Sistem Informasi Kehutanan; Permenhut No.P.7/Menhut-II/2011 tentang Pelayanan Informasi Publik di Bidang Kehutanan; Permenhut No.P.5/Menhut-II/2012 tentang Pedoman Pelaksanaan Tugas Kehumasan di Lingkungan Kementerian Kehutanan. Tidak ada Pergub terkait pelayanan informasi kehutanan</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2</w:t>
            </w:r>
          </w:p>
        </w:tc>
      </w:tr>
      <w:tr w:rsidR="007D4A8C" w:rsidRPr="007D4A8C" w:rsidTr="007D4A8C">
        <w:trPr>
          <w:trHeight w:val="16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AIIa5</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Permenhut No.P.02/Menhut II/2010 tentang Sistem Informasi Kehutanan; Permenhut No.P.7/Menhut-II/2011 tentang Pelayanan Informasi Publik di Bidang Kehutanan; Permenhut No.P.5/Menhut-II/2012 tentang Pedoman Pelaksanaan Tugas Kehumasan di Lingkungan Kementerian Kehutanan. Tidak ada Pergub terkait pelayanan informasi kehutanan</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2</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AIIa6</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Sanksi bagi pihak-pihak yang sengaja menghambat akses publik atas informasi</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mengenai sanksi bagi pihak-pihak yang sengaja menghambat akses publik atas informasi</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90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b. Keberadaan dan komprehensiveness aturan yang mengatur pengakuan atas hak kelola hutan yang dimiliki oleh masyarakat adat, masyarakat lokal dan bisnis  terhadap hutan</w:t>
            </w:r>
          </w:p>
        </w:tc>
      </w:tr>
      <w:tr w:rsidR="007D4A8C" w:rsidRPr="007D4A8C" w:rsidTr="007D4A8C">
        <w:trPr>
          <w:trHeight w:val="39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UU, Permenhut, Perda</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lastRenderedPageBreak/>
              <w:t>AIIb1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Pengakuan atas pengelolaan wilayah adat/lokal (sejalan dengan struktur dan pola yang ada)</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xml:space="preserve">Tidak ada aturan mengenai pangakuan atas pengelolaan wilayah adat/lokal </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AIIb2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mendapatkan izin pengelolaan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Tidak ada aturan mengenai mekanisme mendapatkan izin pengelolaan wilayah adat/lokal</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AIIb3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Keuntungan bagi masyarakat Adat/Lokal</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xml:space="preserve">Tidak ada aturan mengenai keuntungan bagi masyarakat adat/ lokal </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90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c. Keberadaan dan komprehensiveness aturan yang mengatur perlindungan terhadap hak kelola hutan yang telah diberikan kepada masyarakat adat, masyarakat lokal dan bisnis</w:t>
            </w:r>
          </w:p>
        </w:tc>
      </w:tr>
      <w:tr w:rsidR="007D4A8C" w:rsidRPr="007D4A8C" w:rsidTr="007D4A8C">
        <w:trPr>
          <w:trHeight w:val="39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UU, Permenhut, Perda</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AIIc1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Sanksi/ancaman hukum bagi yang melakukan perambahan (di atas lahan bebas konflik)</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xml:space="preserve">Tidak ada aturan mengenai sanksi/ancaman hukum bagi yang melakukan perambhan (di atas lahan bebas konflik) </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AIIc2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Sanksi/ancaman hukum bagi pejabat pemberi izin (di atas lahan yang telah memiliki hak)</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Tidak ada aturan mengenai sanksi/ancaman hukum bagi pejabat pemberi izin (diatas lahan yang telah memiliki hak)</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AIIc3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Ganti rugi bagi pemegang hak yang dirugikan (mudah &amp; memadai)</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Tidak ada aturan mengenai ganti rugi bagi pemegang hak yang dirugikan (mudah dan memadai)</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90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d. Keberadaan dan komprehensiveness aturan yang mengatur program peningkatan kapasitas masyarakat untuk mengakses hak pengelolaan hutan</w:t>
            </w:r>
          </w:p>
        </w:tc>
      </w:tr>
      <w:tr w:rsidR="007D4A8C" w:rsidRPr="007D4A8C" w:rsidTr="007D4A8C">
        <w:trPr>
          <w:trHeight w:val="39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UU, Permenhut, Perda</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AIId1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Program peningkatan kapasitas masyarakat Adat/ Lokal untuk mengakses hak pengelolaan hutan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Tidak ada aturan mengenai program peningkatan kapasitas masyarakat adat/lokal untuk mengakses hak pengelolaan hutan</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AIId2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Program peningkatan kapasitas pemerintah (pada tingkatan) lebih rendah</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xml:space="preserve">Tidak ada aturan mengenai program peningkatan kapasitas pemerintah (pada tingkatan) lebih rendah </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AIId3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mengakses anggaran peningkatan kapasitas bagi masyarakat Adat/Lokal</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xml:space="preserve">Tidak ada aturan mengenai mekanisme mengakses anggaran peningkatan kapasitas bagi masyarakat adat/ lokal </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AIId4</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Program peningkatan kapasitas masyarakat dan Pemerintah Daerah secara partisipatif</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xml:space="preserve">Tidak ada aturan mengenai program peningkatan kapasitas masyarakat dan pemerintah daerah secara partisipatif  </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33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Isu dalam PGA REDD+</w:t>
            </w:r>
          </w:p>
        </w:tc>
        <w:tc>
          <w:tcPr>
            <w:tcW w:w="5688"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III. Pengorganisasian Hutan</w:t>
            </w: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90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xml:space="preserve">: a. Keberadaan dan komprehensiveness aturan yang mengatur akuntablitas institusi pengelolaan hutan dan lahan gambut </w:t>
            </w:r>
          </w:p>
        </w:tc>
      </w:tr>
      <w:tr w:rsidR="007D4A8C" w:rsidRPr="007D4A8C" w:rsidTr="007D4A8C">
        <w:trPr>
          <w:trHeight w:val="39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UU, Permenhut</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lastRenderedPageBreak/>
              <w:t>AIIIa1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Kejelasan tugas &amp; wewenang pengelolaan hutan &amp; lahan gambut</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xml:space="preserve">Tidak ada aturan terkait dengan kejelasan tugas dan wewenang pengelolaan hutan dan lahan gambut. </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AIIIa2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Transparansi output tahunan dan capaian institusi</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Tidak ada aturan terkait dengan  transparansi output tahunan dan capaian institusi</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AIIIa3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Anggaran berbasis kinerja (Budget based on performance)</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xml:space="preserve">Tidak ada aturan terkait dengan anggaran berbasis kinerja (Budget based on performance)   </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AIIIa4</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Desentralisasi (tugas &amp; wewenang) ke tingkat yang lebih rendah (disertai prinsip transparansi &amp; partisipasi)</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Tidak ada aturan terkait dengan desentrlisasi (tugas dan kewenangan) di tingkat yang lebih rendah (disertai prinsip transparansi dan partisipati)</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90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xml:space="preserve">: b. Keberadaan dan komprehensiveness aturan yang mengatur harmonisasi hukum dan kebijakan terkait dengan hutan dan lahan gambut </w:t>
            </w:r>
          </w:p>
        </w:tc>
      </w:tr>
      <w:tr w:rsidR="007D4A8C" w:rsidRPr="007D4A8C" w:rsidTr="007D4A8C">
        <w:trPr>
          <w:trHeight w:val="39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:(permenkum-ham) Cek dibiro hukum prov/kab</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AIIIb1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Kejelasan lembaga yang bertanggung jawab</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Tidak ada aturan mengenai kejelasan lembaga yang bertanggung jawab</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AIIIb2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harmonisasi aturan sebelum diundangkan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Tidak ada aturan terkait mekanisme harmonisasi aturan sebelum diundangkan</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90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xml:space="preserve">: c. Keberadaan dan komprehensiveness aturan yang mengatur pertimbangan integritas dan keahlian dalam posisi strategis di institusi yang bertanggungjawab terhadap kehutanan dan lahan gambut </w:t>
            </w:r>
          </w:p>
        </w:tc>
      </w:tr>
      <w:tr w:rsidR="007D4A8C" w:rsidRPr="007D4A8C" w:rsidTr="007D4A8C">
        <w:trPr>
          <w:trHeight w:val="48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Permenpan/SK Gub/Bup/Inpres 5/2004</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AIIIc1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Keterbukaan proses pengisian posisi strategis</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keterbukaan proses pengisian posisi strategis</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AIIIc2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Penilaian pihak ketiga (independen) dalam proses pemilihan SDM</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penilaian pihak ketiga (independen) dalam proses pemilihan SDM</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AIIIc3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xml:space="preserve">Life style checking dan kewajaran harta dengan bantuan PPATK </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Life Style Checking dan kewajaran harta dengan bantuan PPATK</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AIIIc4</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Kewajiban verifikasi LHKPN dengan bantuan KPK</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kewajiban verifikasi KHKPN dengan bantuan KPK</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AIIIc5</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Batasan Conflict of Interest &amp; mekanisme yang harus dilakukan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 xml:space="preserve">Tidak ada aturan terkait dengan batasan conflict of interest dan mekanisme yang harus dilakukan </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AIIIc6</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Pembuatan pakta integritas, pemenuhan kode etik dan kontrak kinerja</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pembuatan pakta integritas, pemenuhan kode etik dan kontrak kinerja</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90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d. Keberadaan dan komprehensiveness aturan yang mengatur pelaksanaan penegakan hukum dalam pengelolaan hutan dan lahan gambut di tingkat Nasional/Propinsi/Kab secara efektif dan efisien serta tidak rentan korupsi</w:t>
            </w:r>
          </w:p>
        </w:tc>
      </w:tr>
      <w:tr w:rsidR="007D4A8C" w:rsidRPr="007D4A8C" w:rsidTr="007D4A8C">
        <w:trPr>
          <w:trHeight w:val="63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Terkait dengan aturan lain, SK kemenhut/ kejaksaan/Kehakiman/KPK/PPATK, Kemenkeu</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lastRenderedPageBreak/>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AIIId1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Pembenahan case manage-ment sehingga menutup celah-celah abuse of power</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pembenahan case management sehingga menutup celah-celah abuse of power</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AIIId2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Sistem pengawasan dan pen-disiplinan internal di lembaga penegak hukum</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sistem pengawasan dan pndisiplinan internal di lembaga penegak hukum</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29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AIIId3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peningkatan kapasitas aparat penegak hukum terkait isu-isu pengelolaan hutan dan lahan gambut secara lestari, kebijakan negara atas masyarakat adat, serta pemanfaatan instrumen hukum lain seperti pajak, korupsi, dan anti pencucian uang untuk memberantas kejahatan kehutanan (multi door approach)</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AIIId4</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Kewajiban koordinasi yang efektif antara aparat penegak hukum terkait dalam isu hutan dan lahan gambut dan penun-jukan leading sector yang jelas</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kewajiban koordinasi yang efektif antar aparat penegak hukum terkait dalam isu hutan dan lahan gambut dan penunjukkan leading sector yang jelas</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AIIId5</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Pemenuhan rasio jumlah penegak hukum di bidang kehutanan dan lahan gambut</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pemenuhan rasio jumlah penegak hukum di bidang kehutanan dan lahan gambut</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AIIId6</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insentif dan disinsentif untuk mencapai penaatan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mekanisme insentif dan idsinsentif untuk mencapai penaatan</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33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Isu dalam PGA REDD+</w:t>
            </w:r>
          </w:p>
        </w:tc>
        <w:tc>
          <w:tcPr>
            <w:tcW w:w="5688"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IV. Pengelolaan Hutan</w:t>
            </w: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90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xml:space="preserve">: a. Keberadaan dan komprehensiveness aturan yang mengatur kewajiban penyusunan rencana pengelolaan hutan secara berkeadilan dan obyektif </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25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AIVa1</w:t>
            </w:r>
          </w:p>
        </w:tc>
        <w:tc>
          <w:tcPr>
            <w:tcW w:w="2470" w:type="dxa"/>
            <w:vMerge w:val="restart"/>
            <w:tcBorders>
              <w:top w:val="nil"/>
              <w:left w:val="single" w:sz="4" w:space="0" w:color="auto"/>
              <w:bottom w:val="single" w:sz="4" w:space="0" w:color="000000"/>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FF0000"/>
                <w:sz w:val="20"/>
                <w:szCs w:val="20"/>
                <w:lang w:eastAsia="id-ID"/>
              </w:rPr>
            </w:pPr>
            <w:r w:rsidRPr="007D4A8C">
              <w:rPr>
                <w:rFonts w:ascii="Times New Roman" w:eastAsia="Times New Roman" w:hAnsi="Times New Roman" w:cs="Times New Roman"/>
                <w:color w:val="FF0000"/>
                <w:sz w:val="20"/>
                <w:szCs w:val="20"/>
                <w:lang w:eastAsia="id-ID"/>
              </w:rPr>
              <w:t>Tidak ada item data dari sumber awal</w:t>
            </w:r>
          </w:p>
        </w:tc>
        <w:tc>
          <w:tcPr>
            <w:tcW w:w="1282" w:type="dxa"/>
            <w:tcBorders>
              <w:top w:val="nil"/>
              <w:left w:val="nil"/>
              <w:bottom w:val="single" w:sz="4" w:space="0" w:color="auto"/>
              <w:right w:val="single" w:sz="4" w:space="0" w:color="auto"/>
            </w:tcBorders>
            <w:shd w:val="clear" w:color="000000" w:fill="FFFF00"/>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00"/>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1588" w:type="dxa"/>
            <w:tcBorders>
              <w:top w:val="nil"/>
              <w:left w:val="nil"/>
              <w:bottom w:val="single" w:sz="4" w:space="0" w:color="auto"/>
              <w:right w:val="single" w:sz="4" w:space="0" w:color="auto"/>
            </w:tcBorders>
            <w:shd w:val="clear" w:color="000000" w:fill="FFFF00"/>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r>
      <w:tr w:rsidR="007D4A8C" w:rsidRPr="007D4A8C" w:rsidTr="007D4A8C">
        <w:trPr>
          <w:trHeight w:val="25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AIVa2</w:t>
            </w:r>
          </w:p>
        </w:tc>
        <w:tc>
          <w:tcPr>
            <w:tcW w:w="2470" w:type="dxa"/>
            <w:vMerge/>
            <w:tcBorders>
              <w:top w:val="nil"/>
              <w:left w:val="single" w:sz="4" w:space="0" w:color="auto"/>
              <w:bottom w:val="single" w:sz="4" w:space="0" w:color="000000"/>
              <w:right w:val="single" w:sz="4" w:space="0" w:color="auto"/>
            </w:tcBorders>
            <w:vAlign w:val="center"/>
            <w:hideMark/>
          </w:tcPr>
          <w:p w:rsidR="007D4A8C" w:rsidRPr="007D4A8C" w:rsidRDefault="007D4A8C" w:rsidP="007D4A8C">
            <w:pPr>
              <w:spacing w:after="0" w:line="240" w:lineRule="auto"/>
              <w:rPr>
                <w:rFonts w:ascii="Times New Roman" w:eastAsia="Times New Roman" w:hAnsi="Times New Roman" w:cs="Times New Roman"/>
                <w:color w:val="FF0000"/>
                <w:sz w:val="20"/>
                <w:szCs w:val="20"/>
                <w:lang w:eastAsia="id-ID"/>
              </w:rPr>
            </w:pPr>
          </w:p>
        </w:tc>
        <w:tc>
          <w:tcPr>
            <w:tcW w:w="1282" w:type="dxa"/>
            <w:tcBorders>
              <w:top w:val="nil"/>
              <w:left w:val="nil"/>
              <w:bottom w:val="single" w:sz="4" w:space="0" w:color="auto"/>
              <w:right w:val="single" w:sz="4" w:space="0" w:color="auto"/>
            </w:tcBorders>
            <w:shd w:val="clear" w:color="000000" w:fill="FFFF00"/>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00"/>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1588" w:type="dxa"/>
            <w:tcBorders>
              <w:top w:val="nil"/>
              <w:left w:val="nil"/>
              <w:bottom w:val="single" w:sz="4" w:space="0" w:color="auto"/>
              <w:right w:val="single" w:sz="4" w:space="0" w:color="auto"/>
            </w:tcBorders>
            <w:shd w:val="clear" w:color="000000" w:fill="FFFF00"/>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r>
      <w:tr w:rsidR="007D4A8C" w:rsidRPr="007D4A8C" w:rsidTr="007D4A8C">
        <w:trPr>
          <w:trHeight w:val="90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b. Keberadaan dan komprehensiveness aturan yang mengatur transparansi pengelolaan hutan dan lahan gambut</w:t>
            </w:r>
          </w:p>
        </w:tc>
      </w:tr>
      <w:tr w:rsidR="007D4A8C" w:rsidRPr="007D4A8C" w:rsidTr="007D4A8C">
        <w:trPr>
          <w:trHeight w:val="39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SK Menhut/pertanian/ SK/perda-Gub/Bup</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AIVb1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Kewajiban menyediakan seluruh informasi dalam kaitannya dengan pengelolaan hutan secara sistematis sehingga mudah diakses</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kewajiban menyediakan seluruh informasi dalam kaitannya dengan pengelolaan hutan secara sistematis sehingga mudah diakses</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AIVb2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Mewajibkan agar Badan Publik memiliki petugas khusus yang menangani permintaan informasi</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mewajibkan agar badan publik memiliki petugas khusus yang menangani permintaan informasi</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lastRenderedPageBreak/>
              <w:t>AIVb3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kewajiban pemberian akses bagi publik baik secara proaktif maupun berdasarkan permintaan</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AIVb4</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Terdapat pengumuman informasi tentang rencana kegiatan/proyek yang disertai dengan dokumen pendukungnya</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pengumuman informasi tentang rencana kegiatan/proyek yang disertai dengan dokumen pendukungnya</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AIVb5</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 xml:space="preserve">Tidak ada aturan terkait dengan batasan atas informasi yang dapat diakses diatur dengan jelas dan didasarkan pada kepentingan publik </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AIVb6</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Sanksi bagi pihak-pihak yang sengaja menghambat akses publik atas informasi</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sanksi bagi pihak-pihak yang sengaja menghambat akses publik atas informasi</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90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xml:space="preserve">: c. Keberadaan dan komprehensiveness aturan yang mengatur keterlibatan pemangku kepentingan dalam pengelolaan hutan dan lahan gambut yang  berarti </w:t>
            </w:r>
          </w:p>
        </w:tc>
      </w:tr>
      <w:tr w:rsidR="007D4A8C" w:rsidRPr="007D4A8C" w:rsidTr="007D4A8C">
        <w:trPr>
          <w:trHeight w:val="39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SK Menhut/Pertanian, SK/Perda-Gub/Bup</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AIVc1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Informasi rencana pemberian izin/pelaksanaan lelang kepada seluruh pihak yg memiliki hak serta pihak yg berkepentingan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informasi rencana pemberian izin/pelaksanaan lelang kepada seluruh pihak yang memiliki hak serta pihak yang berkepentingan</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AIVc2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mekanisme yang memudahkan bagi seluruh pihak yang berkepentingan untuk dapat terlibat dalam proses pengambilan keputusan</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AIVc3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Penunjukan satu petugas khusus yang bertanggungjawab mengelola masukan publik dalam proses pemberian izin/pelaksanaan lelang</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dengan penunjukan satu petugas khusus yang bertanggung jawab mengelola masukan publik dalam proses pemberian izin/pelaksanaan lelang.</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AIVc4</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Dokumentasi setiap masukan baik yang tertulis ataupun tidak</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dokumentasi setiap masukan baik yang tertulis ataupun tidak</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AIVc5</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Pemberian respon yang bersifat terbuka atas setiap masukan yang ada</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pemberian respon yang bersifat terbuka atas setiap masukan yang ada</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AIVc6</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Pemberian penjelasan atas keputusan akhir yang diambil</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pemberian penjelasan atas keputusan akhir yang diambil</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90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d. Keberadaan dan komprehensiveness aturan yang mengatur mekanisme pemberian izin pengelolaan hutan yang efisien</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25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AIVd1</w:t>
            </w:r>
          </w:p>
        </w:tc>
        <w:tc>
          <w:tcPr>
            <w:tcW w:w="2470" w:type="dxa"/>
            <w:vMerge w:val="restart"/>
            <w:tcBorders>
              <w:top w:val="nil"/>
              <w:left w:val="single" w:sz="4" w:space="0" w:color="auto"/>
              <w:bottom w:val="single" w:sz="4" w:space="0" w:color="000000"/>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FF0000"/>
                <w:sz w:val="20"/>
                <w:szCs w:val="20"/>
                <w:lang w:eastAsia="id-ID"/>
              </w:rPr>
            </w:pPr>
            <w:r w:rsidRPr="007D4A8C">
              <w:rPr>
                <w:rFonts w:ascii="Times New Roman" w:eastAsia="Times New Roman" w:hAnsi="Times New Roman" w:cs="Times New Roman"/>
                <w:color w:val="FF0000"/>
                <w:sz w:val="20"/>
                <w:szCs w:val="20"/>
                <w:lang w:eastAsia="id-ID"/>
              </w:rPr>
              <w:t>Tidak ada item data dari sumber awal</w:t>
            </w:r>
          </w:p>
        </w:tc>
        <w:tc>
          <w:tcPr>
            <w:tcW w:w="1282" w:type="dxa"/>
            <w:tcBorders>
              <w:top w:val="nil"/>
              <w:left w:val="nil"/>
              <w:bottom w:val="single" w:sz="4" w:space="0" w:color="auto"/>
              <w:right w:val="single" w:sz="4" w:space="0" w:color="auto"/>
            </w:tcBorders>
            <w:shd w:val="clear" w:color="000000" w:fill="FFFF00"/>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00"/>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1588" w:type="dxa"/>
            <w:tcBorders>
              <w:top w:val="nil"/>
              <w:left w:val="nil"/>
              <w:bottom w:val="single" w:sz="4" w:space="0" w:color="auto"/>
              <w:right w:val="single" w:sz="4" w:space="0" w:color="auto"/>
            </w:tcBorders>
            <w:shd w:val="clear" w:color="000000" w:fill="FFFF00"/>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r>
      <w:tr w:rsidR="007D4A8C" w:rsidRPr="007D4A8C" w:rsidTr="007D4A8C">
        <w:trPr>
          <w:trHeight w:val="25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AIVd2</w:t>
            </w:r>
          </w:p>
        </w:tc>
        <w:tc>
          <w:tcPr>
            <w:tcW w:w="2470" w:type="dxa"/>
            <w:vMerge/>
            <w:tcBorders>
              <w:top w:val="nil"/>
              <w:left w:val="single" w:sz="4" w:space="0" w:color="auto"/>
              <w:bottom w:val="single" w:sz="4" w:space="0" w:color="000000"/>
              <w:right w:val="single" w:sz="4" w:space="0" w:color="auto"/>
            </w:tcBorders>
            <w:vAlign w:val="center"/>
            <w:hideMark/>
          </w:tcPr>
          <w:p w:rsidR="007D4A8C" w:rsidRPr="007D4A8C" w:rsidRDefault="007D4A8C" w:rsidP="007D4A8C">
            <w:pPr>
              <w:spacing w:after="0" w:line="240" w:lineRule="auto"/>
              <w:rPr>
                <w:rFonts w:ascii="Times New Roman" w:eastAsia="Times New Roman" w:hAnsi="Times New Roman" w:cs="Times New Roman"/>
                <w:color w:val="FF0000"/>
                <w:sz w:val="20"/>
                <w:szCs w:val="20"/>
                <w:lang w:eastAsia="id-ID"/>
              </w:rPr>
            </w:pPr>
          </w:p>
        </w:tc>
        <w:tc>
          <w:tcPr>
            <w:tcW w:w="1282" w:type="dxa"/>
            <w:tcBorders>
              <w:top w:val="nil"/>
              <w:left w:val="nil"/>
              <w:bottom w:val="single" w:sz="4" w:space="0" w:color="auto"/>
              <w:right w:val="single" w:sz="4" w:space="0" w:color="auto"/>
            </w:tcBorders>
            <w:shd w:val="clear" w:color="000000" w:fill="FFFF00"/>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00"/>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1588" w:type="dxa"/>
            <w:tcBorders>
              <w:top w:val="nil"/>
              <w:left w:val="nil"/>
              <w:bottom w:val="single" w:sz="4" w:space="0" w:color="auto"/>
              <w:right w:val="single" w:sz="4" w:space="0" w:color="auto"/>
            </w:tcBorders>
            <w:shd w:val="clear" w:color="000000" w:fill="FFFF00"/>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121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e. Keberadaan dan komprehensiveness aturan yang mengatur mekanisme penanganan pengaduan dalam konflik pengelolaan hutan dan lahan gambu</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AIVe1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pengaduan (sederhana, kejelasan tenggat waktu &amp; tindakan yang telah diambil)</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mekanisme pengaduan</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AIVe2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resolusi konflik dan penyelesaian sengketa</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 xml:space="preserve">Tidak ada aturan terkait dengan mekanisme resolusi konflik dan penyelesaian sengketa </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AIVe3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Mediator memiliki keahlian dan pemahaman tentang isu-isu adat/masyarakat lokal</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mediator memiliki keahlian dan pemahaman tentang isu-isu adat/masyarakat lokal</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AIVe4</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mekanisme pengawasan eksternal atas kinerja penegak hukum dalam menindaklanjuti pengaduan masyarakat</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33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Isu dalam PGA REDD+</w:t>
            </w:r>
          </w:p>
        </w:tc>
        <w:tc>
          <w:tcPr>
            <w:tcW w:w="5688"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V. Pengorganisasian Hutan</w:t>
            </w: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97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a. Keberadaan dan komprehensiveness aturan yang mengatur transparansi pengendalian dan penegakan hukum dalam pengelolaan hutan</w:t>
            </w:r>
          </w:p>
        </w:tc>
      </w:tr>
      <w:tr w:rsidR="007D4A8C" w:rsidRPr="007D4A8C" w:rsidTr="007D4A8C">
        <w:trPr>
          <w:trHeight w:val="39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SK Menhut/Gub/Bu</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AVa1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Ketersediaan seluruh informasi secara sistematis dalam kaitannya dengan pengawasan internal dan eksternal</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aturann terkait dengan ketersediaan seluruh informasi secara sistematis dalam kaitannya dengan pengawasan internal dan eksternal</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AVa2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Terdapat aturan yang mewajibkan pemberian akses bagi publik baik secara proaktif maupun berdasarkan permintaan dalam tahap pengawasan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aturan yang mewajibkan pemberian akses bagi publik baik secara proaktif maupun berdasarkan permintaan dalam tahap pengawasan</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AVa3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batasan atas informasi yang dapat diakses diatur dengan jelas dan didasarkan pada kepentingan publik</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AVa4</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Terdapat sanksi bagi pihak-pihak yg sengaja menghambat akses publik atas informasi</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terkait dengan sanksi bagi pihak-pihak yang sengaja menghambat akses publik atas informasi</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69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b. Keberadaan dan komprehensiveness aturan yang mengatur pengawasan yang berintegritas dan partisipatif dalam pengelolaan hutan</w:t>
            </w:r>
          </w:p>
        </w:tc>
      </w:tr>
      <w:tr w:rsidR="007D4A8C" w:rsidRPr="007D4A8C" w:rsidTr="007D4A8C">
        <w:trPr>
          <w:trHeight w:val="39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Per/SK menhut/Gub/Bup</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xml:space="preserve">Sumber </w:t>
            </w:r>
            <w:r w:rsidRPr="007D4A8C">
              <w:rPr>
                <w:rFonts w:ascii="Times New Roman" w:eastAsia="Times New Roman" w:hAnsi="Times New Roman" w:cs="Times New Roman"/>
                <w:b/>
                <w:bCs/>
                <w:color w:val="000000"/>
                <w:sz w:val="20"/>
                <w:szCs w:val="20"/>
                <w:lang w:eastAsia="id-ID"/>
              </w:rPr>
              <w:lastRenderedPageBreak/>
              <w:t>Data</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lastRenderedPageBreak/>
              <w:t>Sumber Dokumen Hukum dan Kebijakan</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lastRenderedPageBreak/>
              <w:t>AVb1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Informasi pelaksanaan kegiatan untuk memperjelas masukan publik atas suatu kasus</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 xml:space="preserve">Tidak ada aturan yang terkait dengan informasi pelaksanaan kegiatan untuk memperjelas masukan publik atas suatu kasus </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AVb2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penerimaan pengaduan memudahkan bagi seluruh pihak (termasuk competitors) untuk menyampaikan pengaduan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turan yang terkait dengan mekanisme penerimaan pengaduan memudahkan bagi seluruh pihak untuk menyampaikan pengaduan</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AVb3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Dokumentasi setiap laporan pengaduan baik yang tertulis ataupun tidak</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turan yang terkait dengan  dokumentasi setiap laporan pengaduan baik yang tertulis maupun tidak</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AVb4</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penerimaan pengaduan memiliki jangka waktu yang jelas atas respon yang akan diberikan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turan yang terkait dengan  mekanisme penerimaan pengaduan memiliki jangka waktu yang jelas atas respon yang akan diberikan</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AVb5</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xml:space="preserve">Mekanisme penerimaan pengaduan menawarkan kemudahan dan kejelasan pihak yang dikontak </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turan yang terkait dengan  mekanisme penerimaan pengaduan menawarkan kemudahan dan kejelasan pihak yang dikontak</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AVb6</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Penunjukan satu petugas khusus yang bertanggungjawab mengelola masukan publik dalam proses pengawasan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turan yang terkait dengan  penunjukkan satu petugas khusus yang bertanggung jawab mengelola masukan publik dalam proses pengawasan</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100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xml:space="preserve">: c. Keberadaan dan komprehensiveness aturan yang mengatur program peningkatan kapasitas masyarakat dalam pengawasan pengelolaan hutan dan lahan gambut  </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AVc1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Program pemerintah daerah dalam meningkatkan kapasitas masyarakat adat/lokal untuk turut berpartisipasi dalam proses pengawasan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turan yang terkait dengan  program pemerintah daerah dalam meningkatkan kapasitas masyarakat adat/lokal untuk turut berpartisipasi dalam proses pengawasan</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AVc2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Program pemerintahan yang lebih tinggi untuk meningkat-kan kapasitas pemerintahan yang lebih rendah dalam melakukan pengawasan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turan yang terkait dengan  program pemerintah yang lebih tinggi untuk meningkatkan kapasitas pemerintah yang lebih rendah dalam melakukan pengawasan</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102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d. Keberadaan dan komprehensiveness aturan yang mengatur mekanisme penindaklanjutan temuan penyelewengan/indikasi korupsi yang responsif</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AVd1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Pelaksanaan perbaikan sistem secara partisipatif dari rekomendasi BPK dan KPK</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turan yang terkait dengan  pelaksanaan perbaikan sistem secara partisipatif dari rekomendasi BPK dan KPK</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103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e. Keberadaan dan komprehensiveness aturan yang mengatur mekanisme multi door approach dalam penyelesaian kasus-kasus kejahatan kehutanan</w:t>
            </w:r>
          </w:p>
        </w:tc>
      </w:tr>
      <w:tr w:rsidR="007D4A8C" w:rsidRPr="007D4A8C" w:rsidTr="007D4A8C">
        <w:trPr>
          <w:trHeight w:val="39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Aturan KLH-kehutanan (satgas illegal loging)</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AVe1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Pendekatan multi-door ap-proach antara lain terdiri dari pendekatan pidana korupsi, anti money laundering, pidana pajak, dan pidana lingkungan hidup</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aturan turan yang terkait dengan  pendekatan multi door approach antara lain terdiri dari pendekatan pidana korupsi, anti money loundering, pidana pajak, dan pidana lingkungan hidup</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33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Isu dalam PGA REDD+</w:t>
            </w:r>
          </w:p>
        </w:tc>
        <w:tc>
          <w:tcPr>
            <w:tcW w:w="5688"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IV. Infrastruktur REDD+</w:t>
            </w: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76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lastRenderedPageBreak/>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a. Keberadaan dan komprehensiveness aturan yang mengatur transparansi dalam pengembangan kebijakan dan kelembagaan REDD+</w:t>
            </w:r>
          </w:p>
        </w:tc>
      </w:tr>
      <w:tr w:rsidR="007D4A8C" w:rsidRPr="007D4A8C" w:rsidTr="007D4A8C">
        <w:trPr>
          <w:trHeight w:val="390"/>
        </w:trPr>
        <w:tc>
          <w:tcPr>
            <w:tcW w:w="3609" w:type="dxa"/>
            <w:gridSpan w:val="2"/>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(UKP4, Permenhut, Perda/SK Gub/Bup)</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AVIa1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Ketersediaan seluruh informasi dalam kaitannya dengan proses pembentukan infrastruktur, pelaksanaan dan pengawasan REDD+</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Surat Keputusan Gubernur Kaltim No.522/K.215/2010 tentang Pembentukan Kelompok Kerja REDD+ di Prov. Kaltim</w:t>
            </w:r>
          </w:p>
        </w:tc>
        <w:tc>
          <w:tcPr>
            <w:tcW w:w="1588"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2</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AVIa2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Kewajiban agar Badan Publik memiliki petugas khusus yang menangani permintaan informasi publik</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yang menekanan pada kewajiban agar badan publik memiliki petugas khusus yang menangani permintaan informasi publik</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AVIa3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Pemberian akses bagi publik baik secara proaktif maupun berdasarkan permintaan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yang mengatur pemberian akses bagi publik baik secara proaktif maupun berdasarkan permintaan</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AVIa4</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yang mengatur tentang batasan informasi yang dapat diakses</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AVIa5</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Sanksi bagi pihak-pihak yang sengaja menghambat akses publik atas informasi</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yang mengatur sanksi bagi pihak-pihak yang sengaja menghambat akses publik atas informasi</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102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b. Keberadaan dan komprehensiveness aturan yang mengatur penyusunan kebijakan dan kelembagaan REDD+ yang obyektif dan transparan</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AVIb1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Penyampaian informasi atas rencana pembentukan peraturan/kebijakan terkait REDD+ kepada seluruh pihak yg memiliki hak serta pihak yg berkepentingan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berkaitan dengan penyampaian  informasi atas rencana pembentukan peraturan/kebijakan terkait REDD+ kepada seluruh pihak yg memiliki hak serta pihak yg berkepentingan</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AVIb2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berkaitan dengan mekanisme yang memudahkan bagi seluruh pihak yang berkepentingan untuk dapat terlibat dalam proses pengambilan keputusan</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AVIb3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Penunjukan satu petugas khusus yang bertanggungjawab mengelola masukan publik dalam proses pembentukan kebijakan terkait REDD+;</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berkaitan dengan penunjukan satu petugas khusus yang bertanggungjawab mengelola masukan publik dalam proses pembentukan kebijakan terkait REDD+;</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AVIb4</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Dokumentasi setiap masukan baik yang tertulis ataupun tidak</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berkaitan dengan aturan tentang pendokumentasian setiap masukan baik yang tertulis /tidak tertulis</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1512"/>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AVIb5</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Pemberian respon yang bersifat terbuka atas setiap masukan yang ada (metode umpan balik)</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berkaitan dengan pemberian respon yang bersifat terbuka atas setiap masukan yang ada (metode umpan balik)</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lastRenderedPageBreak/>
              <w:t>AVIb6</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Penjelasan atas keputusan akhir yang diambil</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berkaitan dengan penjelasan atas keputusan akhir yang diambil</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AVIb7</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Pelaksanakan seluruh proses partisipasi dalam waktu yang cukup, (minimum 45 hari kerja)</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berkaitan dengan pengaturan pelaksanakan seluruh proses partisipasi dalam waktu yang cukup, (minimum 45 hari kerja)</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97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xml:space="preserve">: c. Keberadaan dan komprehensiveness aturan yang mengatur mekanisme penanganan pengaduan masyarakat dalam proses pengembangan kebijakan dan kelembagaan REDD+ </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204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AVIc1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yang berkaitan dengan mekanisme pengaduan masyarakat yang memudahkan bagi seluruh pihak (termasuk competitors) untuk menyampaikan pengaduan dan mendapatkan kejelasan tindakan yang telah diambil atas pengaduan yang disampaikan dalam jangka waktu yang jelas</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AVIc2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resolusi konflik dan penyelesaian sengketa melalui jalur perundingan apabila terdapat perbedaan pandangan yg tajam atas suatu hal</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yang berkaitan dengan  mekanisme resolusi konflik dan penyelesaian sengketa melalui jalur perundingan apabila terdapat perbedaan pandangan yg tajam atas suatu hal</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AVIc3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Jasa mediator yang memiliki keahlian dan pemahaman tentang isu-isu adat</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yang berkaitan dengan jasa mediator yang memiliki keahlian dan pemahaman tentang isu-isu adat</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93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xml:space="preserve">: d. Keberadaan dan komprehensiveness aturan yang mengatur program peningkatan kapasitas aparat pemerintah dan masyarakat dalam penyiapan pengembangan kebijakan dan kelembagaan REDD+  </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AVId1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Program untuk meningkatkan kapasitas masyarakat adat/lokal untuk untuk memahami REDD+ serta pilihan-pilihan kebijakan yang ada</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yang berkaitan dengan program untuk meningkatkan kapasitas masyarakat adat/lokal untuk untuk memahami REDD+ serta pilihan-pilihan kebijakan yang ada</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1</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AVId2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Program untuk peningkatan kapasitas pemerintahan yang lebih rendah untuk memahami REDD+ serta pilihan-pilihan kebijakan yang ada</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yang berkaitan dengan program untuk peningkatan kapasitas pemerintahan yang lebih rendah untuk memahami REDD+ serta pilihan-pilihan kebijakan yang ada</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105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nil"/>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xml:space="preserve">: e. Keberadaan dan komprehensiveness aturan yang mengatur mekanisme tindak lanjut temuan penyelewengan/indikasi korupsi kegiatan REDD+ yang responsif </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AVIe1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Pelaksanaan perbaikan sistem berdasarkan rekomendasi BPK secara partisipatif</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yang berkaitan dengan pelaksanaan perbaikan sistem berdasarkan rekomendasi BPK secara partisipatif</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1</w:t>
            </w:r>
          </w:p>
        </w:tc>
      </w:tr>
      <w:tr w:rsidR="007D4A8C" w:rsidRPr="007D4A8C" w:rsidTr="007D4A8C">
        <w:trPr>
          <w:trHeight w:val="255"/>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282"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4406"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p>
        </w:tc>
      </w:tr>
      <w:tr w:rsidR="007D4A8C" w:rsidRPr="007D4A8C" w:rsidTr="007D4A8C">
        <w:trPr>
          <w:trHeight w:val="600"/>
        </w:trPr>
        <w:tc>
          <w:tcPr>
            <w:tcW w:w="1139"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Indikator</w:t>
            </w:r>
          </w:p>
        </w:tc>
        <w:tc>
          <w:tcPr>
            <w:tcW w:w="2470" w:type="dxa"/>
            <w:tcBorders>
              <w:top w:val="nil"/>
              <w:left w:val="nil"/>
              <w:bottom w:val="nil"/>
              <w:right w:val="nil"/>
            </w:tcBorders>
            <w:shd w:val="clear" w:color="auto" w:fill="auto"/>
            <w:noWrap/>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p>
        </w:tc>
        <w:tc>
          <w:tcPr>
            <w:tcW w:w="7276" w:type="dxa"/>
            <w:gridSpan w:val="3"/>
            <w:tcBorders>
              <w:top w:val="nil"/>
              <w:left w:val="nil"/>
              <w:bottom w:val="single" w:sz="4" w:space="0" w:color="auto"/>
              <w:right w:val="nil"/>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 f. Keberadaan dan komprehensiveness aturan yang mengatur mekanisme penanganan pengaduan dalam konflik terkait dengan kegiatan REDD+</w:t>
            </w:r>
          </w:p>
        </w:tc>
      </w:tr>
      <w:tr w:rsidR="007D4A8C" w:rsidRPr="007D4A8C" w:rsidTr="007D4A8C">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Kode</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Item Data</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Data</w:t>
            </w:r>
          </w:p>
        </w:tc>
        <w:tc>
          <w:tcPr>
            <w:tcW w:w="4406"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Sumber Dokumen Hukum dan Kebijakan</w:t>
            </w:r>
          </w:p>
        </w:tc>
        <w:tc>
          <w:tcPr>
            <w:tcW w:w="1588"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b/>
                <w:bCs/>
                <w:color w:val="000000"/>
                <w:sz w:val="20"/>
                <w:szCs w:val="20"/>
                <w:lang w:eastAsia="id-ID"/>
              </w:rPr>
            </w:pPr>
            <w:r w:rsidRPr="007D4A8C">
              <w:rPr>
                <w:rFonts w:ascii="Times New Roman" w:eastAsia="Times New Roman" w:hAnsi="Times New Roman" w:cs="Times New Roman"/>
                <w:b/>
                <w:bCs/>
                <w:color w:val="000000"/>
                <w:sz w:val="20"/>
                <w:szCs w:val="20"/>
                <w:lang w:eastAsia="id-ID"/>
              </w:rPr>
              <w:t>Kategori Data</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AVIf1</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pengaduan yang sederhana, memilik tenggat waktu yang jelas serta kejelasan tindakan yang telah diambil</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dyang berkaitan dengan mekanisme pengaduan yang sederhana, memilik tenggat waktu yang jelas serta kejelasan tindakan yang telah diambil</w:t>
            </w:r>
          </w:p>
        </w:tc>
        <w:tc>
          <w:tcPr>
            <w:tcW w:w="1588"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jc w:val="center"/>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AVIf2</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resolusi konflik dan penyelesaian sengketa melalui jalur perundingan</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yang berkaitan dengan mekanisme resolusi konflik dan penyelesaian sengketa melalui jalur perundingan</w:t>
            </w:r>
          </w:p>
        </w:tc>
        <w:tc>
          <w:tcPr>
            <w:tcW w:w="1588"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jc w:val="center"/>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1</w:t>
            </w:r>
          </w:p>
        </w:tc>
      </w:tr>
      <w:tr w:rsidR="007D4A8C" w:rsidRPr="007D4A8C" w:rsidTr="007D4A8C">
        <w:trPr>
          <w:trHeight w:val="102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AVIf3</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Mewajibkan mediator yang disediakan untuk memiliki keahlian dan pemahaman tentang isu-isu adat/masyarakat lokal</w:t>
            </w:r>
          </w:p>
        </w:tc>
        <w:tc>
          <w:tcPr>
            <w:tcW w:w="1282"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yang berkaitan dengan mewajibkan mediator yang disediakan untuk memiliki keahlian dan pemahaman tentang isu-isu adat/masyarakat lokal</w:t>
            </w:r>
          </w:p>
        </w:tc>
        <w:tc>
          <w:tcPr>
            <w:tcW w:w="1588"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jc w:val="center"/>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1</w:t>
            </w:r>
          </w:p>
        </w:tc>
      </w:tr>
      <w:tr w:rsidR="007D4A8C" w:rsidRPr="007D4A8C" w:rsidTr="007D4A8C">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AVIf4</w:t>
            </w:r>
          </w:p>
        </w:tc>
        <w:tc>
          <w:tcPr>
            <w:tcW w:w="2470" w:type="dxa"/>
            <w:tcBorders>
              <w:top w:val="nil"/>
              <w:left w:val="nil"/>
              <w:bottom w:val="single" w:sz="4" w:space="0" w:color="auto"/>
              <w:right w:val="single" w:sz="4" w:space="0" w:color="auto"/>
            </w:tcBorders>
            <w:shd w:val="clear" w:color="auto" w:fill="auto"/>
            <w:vAlign w:val="center"/>
            <w:hideMark/>
          </w:tcPr>
          <w:p w:rsidR="007D4A8C" w:rsidRPr="007D4A8C" w:rsidRDefault="007D4A8C" w:rsidP="007D4A8C">
            <w:pPr>
              <w:spacing w:after="0" w:line="240" w:lineRule="auto"/>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282" w:type="dxa"/>
            <w:tcBorders>
              <w:top w:val="nil"/>
              <w:left w:val="nil"/>
              <w:bottom w:val="single" w:sz="4" w:space="0" w:color="auto"/>
              <w:right w:val="single" w:sz="4" w:space="0" w:color="auto"/>
            </w:tcBorders>
            <w:shd w:val="clear" w:color="auto" w:fill="auto"/>
            <w:noWrap/>
            <w:vAlign w:val="center"/>
            <w:hideMark/>
          </w:tcPr>
          <w:p w:rsidR="007D4A8C" w:rsidRPr="007D4A8C" w:rsidRDefault="007D4A8C" w:rsidP="007D4A8C">
            <w:pPr>
              <w:spacing w:after="0" w:line="240" w:lineRule="auto"/>
              <w:jc w:val="center"/>
              <w:rPr>
                <w:rFonts w:ascii="Times New Roman" w:eastAsia="Times New Roman" w:hAnsi="Times New Roman" w:cs="Times New Roman"/>
                <w:color w:val="000000"/>
                <w:sz w:val="20"/>
                <w:szCs w:val="20"/>
                <w:lang w:eastAsia="id-ID"/>
              </w:rPr>
            </w:pPr>
            <w:r w:rsidRPr="007D4A8C">
              <w:rPr>
                <w:rFonts w:ascii="Times New Roman" w:eastAsia="Times New Roman" w:hAnsi="Times New Roman" w:cs="Times New Roman"/>
                <w:color w:val="000000"/>
                <w:sz w:val="20"/>
                <w:szCs w:val="20"/>
                <w:lang w:eastAsia="id-ID"/>
              </w:rPr>
              <w:t> </w:t>
            </w:r>
          </w:p>
        </w:tc>
        <w:tc>
          <w:tcPr>
            <w:tcW w:w="4406" w:type="dxa"/>
            <w:tcBorders>
              <w:top w:val="nil"/>
              <w:left w:val="nil"/>
              <w:bottom w:val="single" w:sz="4" w:space="0" w:color="auto"/>
              <w:right w:val="single" w:sz="4" w:space="0" w:color="auto"/>
            </w:tcBorders>
            <w:shd w:val="clear" w:color="000000" w:fill="FFFFFF"/>
            <w:vAlign w:val="center"/>
            <w:hideMark/>
          </w:tcPr>
          <w:p w:rsidR="007D4A8C" w:rsidRPr="007D4A8C" w:rsidRDefault="007D4A8C" w:rsidP="007D4A8C">
            <w:pPr>
              <w:spacing w:after="0" w:line="240" w:lineRule="auto"/>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Tidak ada dokumen  yang berkaitan dengan mekanisme pengawasan eksternal atas kinerja penegak hukum dalam menindaklanjuti pengaduan masyarakat</w:t>
            </w:r>
          </w:p>
        </w:tc>
        <w:tc>
          <w:tcPr>
            <w:tcW w:w="1588" w:type="dxa"/>
            <w:tcBorders>
              <w:top w:val="nil"/>
              <w:left w:val="nil"/>
              <w:bottom w:val="single" w:sz="4" w:space="0" w:color="auto"/>
              <w:right w:val="single" w:sz="4" w:space="0" w:color="auto"/>
            </w:tcBorders>
            <w:shd w:val="clear" w:color="000000" w:fill="FFFFFF"/>
            <w:noWrap/>
            <w:vAlign w:val="center"/>
            <w:hideMark/>
          </w:tcPr>
          <w:p w:rsidR="007D4A8C" w:rsidRPr="007D4A8C" w:rsidRDefault="007D4A8C" w:rsidP="007D4A8C">
            <w:pPr>
              <w:spacing w:after="0" w:line="240" w:lineRule="auto"/>
              <w:jc w:val="center"/>
              <w:rPr>
                <w:rFonts w:ascii="Times New Roman" w:eastAsia="Times New Roman" w:hAnsi="Times New Roman" w:cs="Times New Roman"/>
                <w:sz w:val="20"/>
                <w:szCs w:val="20"/>
                <w:lang w:eastAsia="id-ID"/>
              </w:rPr>
            </w:pPr>
            <w:r w:rsidRPr="007D4A8C">
              <w:rPr>
                <w:rFonts w:ascii="Times New Roman" w:eastAsia="Times New Roman" w:hAnsi="Times New Roman" w:cs="Times New Roman"/>
                <w:sz w:val="20"/>
                <w:szCs w:val="20"/>
                <w:lang w:eastAsia="id-ID"/>
              </w:rPr>
              <w:t>1</w:t>
            </w:r>
          </w:p>
        </w:tc>
      </w:tr>
    </w:tbl>
    <w:p w:rsidR="007D4A8C" w:rsidRDefault="007D4A8C"/>
    <w:sectPr w:rsidR="007D4A8C"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390CBB"/>
    <w:rsid w:val="004165D1"/>
    <w:rsid w:val="006E5970"/>
    <w:rsid w:val="007D4A8C"/>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7D4A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90">
    <w:name w:val="xl90"/>
    <w:basedOn w:val="Normal"/>
    <w:rsid w:val="007D4A8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id-ID"/>
    </w:rPr>
  </w:style>
  <w:style w:type="paragraph" w:customStyle="1" w:styleId="xl91">
    <w:name w:val="xl91"/>
    <w:basedOn w:val="Normal"/>
    <w:rsid w:val="007D4A8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id-ID"/>
    </w:rPr>
  </w:style>
  <w:style w:type="paragraph" w:customStyle="1" w:styleId="xl92">
    <w:name w:val="xl92"/>
    <w:basedOn w:val="Normal"/>
    <w:rsid w:val="007D4A8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id-ID"/>
    </w:rPr>
  </w:style>
  <w:style w:type="paragraph" w:customStyle="1" w:styleId="xl93">
    <w:name w:val="xl93"/>
    <w:basedOn w:val="Normal"/>
    <w:rsid w:val="007D4A8C"/>
    <w:pP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id-ID"/>
    </w:rPr>
  </w:style>
  <w:style w:type="paragraph" w:customStyle="1" w:styleId="xl94">
    <w:name w:val="xl94"/>
    <w:basedOn w:val="Normal"/>
    <w:rsid w:val="007D4A8C"/>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id-ID"/>
    </w:rPr>
  </w:style>
  <w:style w:type="paragraph" w:customStyle="1" w:styleId="xl95">
    <w:name w:val="xl95"/>
    <w:basedOn w:val="Normal"/>
    <w:rsid w:val="007D4A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id-ID"/>
    </w:rPr>
  </w:style>
  <w:style w:type="paragraph" w:customStyle="1" w:styleId="xl96">
    <w:name w:val="xl96"/>
    <w:basedOn w:val="Normal"/>
    <w:rsid w:val="007D4A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1073235355">
      <w:bodyDiv w:val="1"/>
      <w:marLeft w:val="0"/>
      <w:marRight w:val="0"/>
      <w:marTop w:val="0"/>
      <w:marBottom w:val="0"/>
      <w:divBdr>
        <w:top w:val="none" w:sz="0" w:space="0" w:color="auto"/>
        <w:left w:val="none" w:sz="0" w:space="0" w:color="auto"/>
        <w:bottom w:val="none" w:sz="0" w:space="0" w:color="auto"/>
        <w:right w:val="none" w:sz="0" w:space="0" w:color="auto"/>
      </w:divBdr>
    </w:div>
    <w:div w:id="13744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4924</Words>
  <Characters>28072</Characters>
  <Application>Microsoft Office Word</Application>
  <DocSecurity>0</DocSecurity>
  <Lines>233</Lines>
  <Paragraphs>65</Paragraphs>
  <ScaleCrop>false</ScaleCrop>
  <Company/>
  <LinksUpToDate>false</LinksUpToDate>
  <CharactersWithSpaces>32931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2</cp:revision>
  <dcterms:created xsi:type="dcterms:W3CDTF">2012-10-16T01:42:00Z</dcterms:created>
  <dcterms:modified xsi:type="dcterms:W3CDTF">2012-10-16T09:24:00Z</dcterms:modified>
</cp:coreProperties>
</file>